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63" w:rsidRPr="008C752E" w:rsidRDefault="002F3063" w:rsidP="002F3063">
      <w:pPr>
        <w:suppressAutoHyphens/>
        <w:spacing w:before="240" w:after="240" w:line="276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bookmarkStart w:id="0" w:name="_Toc424728358"/>
      <w:bookmarkStart w:id="1" w:name="_Toc98230308"/>
      <w:r w:rsidRPr="008C752E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Раздел 1.2</w:t>
      </w:r>
      <w:bookmarkEnd w:id="0"/>
      <w:bookmarkEnd w:id="1"/>
    </w:p>
    <w:p w:rsidR="002F3063" w:rsidRPr="008C752E" w:rsidRDefault="002F3063" w:rsidP="002F3063">
      <w:pPr>
        <w:pStyle w:val="11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bookmarkStart w:id="2" w:name="_Toc424728359"/>
      <w:bookmarkStart w:id="3" w:name="_Toc98230309"/>
      <w:r w:rsidRPr="008C752E">
        <w:rPr>
          <w:rFonts w:ascii="Times New Roman" w:eastAsia="Calibri" w:hAnsi="Times New Roman"/>
          <w:b/>
          <w:color w:val="auto"/>
          <w:sz w:val="28"/>
          <w:szCs w:val="28"/>
        </w:rPr>
        <w:t>Направления развития централизованных систем водоснабжения</w:t>
      </w:r>
      <w:bookmarkEnd w:id="2"/>
      <w:bookmarkEnd w:id="3"/>
    </w:p>
    <w:p w:rsidR="002F3063" w:rsidRPr="008C752E" w:rsidRDefault="002F3063" w:rsidP="002F3063">
      <w:pPr>
        <w:pStyle w:val="a7"/>
        <w:numPr>
          <w:ilvl w:val="2"/>
          <w:numId w:val="2"/>
        </w:numPr>
        <w:tabs>
          <w:tab w:val="left" w:pos="720"/>
        </w:tabs>
        <w:suppressAutoHyphens/>
        <w:spacing w:before="240" w:after="240" w:line="276" w:lineRule="auto"/>
        <w:ind w:left="709"/>
        <w:jc w:val="both"/>
        <w:outlineLvl w:val="0"/>
        <w:rPr>
          <w:b/>
          <w:kern w:val="28"/>
          <w:sz w:val="28"/>
          <w:szCs w:val="28"/>
        </w:rPr>
      </w:pPr>
      <w:bookmarkStart w:id="4" w:name="_Toc424728360"/>
      <w:bookmarkStart w:id="5" w:name="_Toc98230310"/>
      <w:r w:rsidRPr="008C752E">
        <w:rPr>
          <w:b/>
          <w:kern w:val="28"/>
          <w:sz w:val="28"/>
          <w:szCs w:val="28"/>
        </w:rPr>
        <w:t>Основные направления, принципы, задачи и плановые показатели развития централизованных систем водоснабжения</w:t>
      </w:r>
      <w:bookmarkEnd w:id="4"/>
      <w:bookmarkEnd w:id="5"/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Принципы развития централизованной системы водоснабжения: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1.</w:t>
      </w:r>
      <w:r w:rsidRPr="008C752E">
        <w:rPr>
          <w:rFonts w:ascii="Times New Roman" w:hAnsi="Times New Roman" w:cs="Times New Roman"/>
          <w:sz w:val="28"/>
          <w:szCs w:val="28"/>
        </w:rPr>
        <w:tab/>
        <w:t>Постоянное улучшение качества предоставления услуг водоснабжения потребителям (абонентам);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2.</w:t>
      </w:r>
      <w:r w:rsidRPr="008C752E">
        <w:rPr>
          <w:rFonts w:ascii="Times New Roman" w:hAnsi="Times New Roman" w:cs="Times New Roman"/>
          <w:sz w:val="28"/>
          <w:szCs w:val="28"/>
        </w:rPr>
        <w:tab/>
        <w:t>Удовлетворение потребности в обеспечении услугой водоснабжения объектов капитального строительства;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3.</w:t>
      </w:r>
      <w:r w:rsidRPr="008C752E">
        <w:rPr>
          <w:rFonts w:ascii="Times New Roman" w:hAnsi="Times New Roman" w:cs="Times New Roman"/>
          <w:sz w:val="28"/>
          <w:szCs w:val="28"/>
        </w:rPr>
        <w:tab/>
        <w:t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Основные задачи с учетом перспективы развития: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1.</w:t>
      </w:r>
      <w:r w:rsidRPr="008C752E">
        <w:rPr>
          <w:rFonts w:ascii="Times New Roman" w:hAnsi="Times New Roman" w:cs="Times New Roman"/>
          <w:sz w:val="28"/>
          <w:szCs w:val="28"/>
        </w:rPr>
        <w:tab/>
        <w:t>использование эффективных и технически совершенных технологий водоподготовки при производстве питьевой воды на ВС с забором воды из поверхностного источника водоснабжения в целях обеспечения гарантированной безопасности и безвредности питьевой воды;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2.</w:t>
      </w:r>
      <w:r w:rsidRPr="008C752E">
        <w:rPr>
          <w:rFonts w:ascii="Times New Roman" w:hAnsi="Times New Roman" w:cs="Times New Roman"/>
          <w:sz w:val="28"/>
          <w:szCs w:val="28"/>
        </w:rPr>
        <w:tab/>
        <w:t>реконструкция и модернизация водопроводной сети и насосных станций, в целях обеспечения качества воды, поставляемой потребителям, повышения надежности водоснабжения и снижения аварийности;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3.</w:t>
      </w:r>
      <w:r w:rsidRPr="008C752E">
        <w:rPr>
          <w:rFonts w:ascii="Times New Roman" w:hAnsi="Times New Roman" w:cs="Times New Roman"/>
          <w:sz w:val="28"/>
          <w:szCs w:val="28"/>
        </w:rPr>
        <w:tab/>
        <w:t>замена запорной арматуры на водопроводной сети, в том числе пожарных гидрантов, в целях 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4.</w:t>
      </w:r>
      <w:r w:rsidRPr="008C752E">
        <w:rPr>
          <w:rFonts w:ascii="Times New Roman" w:hAnsi="Times New Roman" w:cs="Times New Roman"/>
          <w:sz w:val="28"/>
          <w:szCs w:val="28"/>
        </w:rPr>
        <w:tab/>
        <w:t xml:space="preserve">внедрение системы автоматизированного управления и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водоснабжения, а также обеспечения </w:t>
      </w:r>
      <w:proofErr w:type="spellStart"/>
      <w:r w:rsidRPr="008C752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752E">
        <w:rPr>
          <w:rFonts w:ascii="Times New Roman" w:hAnsi="Times New Roman" w:cs="Times New Roman"/>
          <w:sz w:val="28"/>
          <w:szCs w:val="28"/>
        </w:rPr>
        <w:t xml:space="preserve"> функционирования системы;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5.</w:t>
      </w:r>
      <w:r w:rsidRPr="008C752E">
        <w:rPr>
          <w:rFonts w:ascii="Times New Roman" w:hAnsi="Times New Roman" w:cs="Times New Roman"/>
          <w:sz w:val="28"/>
          <w:szCs w:val="28"/>
        </w:rPr>
        <w:tab/>
        <w:t>строительство сетей и сооружений для водоснабжения осваиваемых и преобразуемых территорий, а также отдельных городских территорий, не имеющих централизованного водоснабжения, в целях обеспечения доступности услуг водоснабжения.</w:t>
      </w:r>
    </w:p>
    <w:p w:rsidR="002F3063" w:rsidRPr="008C752E" w:rsidRDefault="002F3063" w:rsidP="002F3063">
      <w:pPr>
        <w:tabs>
          <w:tab w:val="left" w:pos="0"/>
        </w:tabs>
        <w:suppressAutoHyphens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 xml:space="preserve">В соответствии с определением, данным Федеральным законом от 07 декабря 2011 года №416-ФЗ «О водоснабжении и водоотведении» (редакция от 29 декабря 2014 года) (далее – Закон №416-ФЗ) - показатели надежности, </w:t>
      </w:r>
      <w:r w:rsidRPr="008C752E">
        <w:rPr>
          <w:rFonts w:ascii="Times New Roman" w:hAnsi="Times New Roman" w:cs="Times New Roman"/>
          <w:sz w:val="28"/>
          <w:szCs w:val="28"/>
        </w:rPr>
        <w:lastRenderedPageBreak/>
        <w:t xml:space="preserve">качества, энергетической эффективности объектов централизованных систем горячего водоснабжения, холодного водоснабжения и (или) водоотведения (далее также - показатели надежности, качества, энергетической эффективности) - показатели, применяемые для контроля за исполнением обязательств концессионера по созданию и (или) реконструкции объектов концессионного соглашения, реализацией инвестиционной программы, производственной программы организацией, осуществляющей горячее водоснабжение, холодное водоснабжение и (или) водоотведение, а также в целях регулирования тарифов". </w:t>
      </w:r>
    </w:p>
    <w:p w:rsidR="002F3063" w:rsidRPr="008C752E" w:rsidRDefault="002F3063" w:rsidP="002F3063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В соответствии с частью 1 статьи 39 Закона №416-ФЗ, «к показателям надежности, качества, энергетической эффективности объектов централизованных систем водоснабжения относятся: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качества воды;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надежности и бесперебойности водоснабжения и водоотведения;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эффективности использования ресурсов, в том числе уровень потерь воды (тепловой энергии в составе горячей воды);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хозяйства».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13 Постановления Правительства Российской Федерации от 05 сентября 2013 года №782 «О схемах водоснабжения и водоотведения» к плановым показателям деятельности организаций, осуществляющих горячее водоснабжение, холодное водоснабжение, относятся: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качества горячей и питьевой воды;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надежности и бесперебойности водоснабжения;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качества обслуживания абонентов;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показатели эффективности использования ресурсов, в том числе сокращения потерь воды (тепловой энергии в составе горячей воды) при транспортировке;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соотношение цены реализации мероприятий инвестиционной программы и их эффективности - улучшение качества воды;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6)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настоящее время также отсутствуют иные показатели, утвержденные в рамках соответствующих положений требований к содержанию схем водоснабжения и водоотведения.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2 статьи 39 Закона №416-ФЗ, «порядок и правила определения плановых значений и фактических значений показателей надежности, качества, энергетической эффективности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хозяйства»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указанного закона перечень показателей надежности, качества, энергетической эффективности объектов централизованных систем горячего водоснабжения, а также порядок и правила определения плановых значений и фактических значений показателей надежности, качества, энергетической эффективности объектов централизованных систем горячего водоснабжения установлены Приказом Министерства строительства и жилищно-коммунального хозяйства Российской Федерации от 4 апреля 2014 года № 162/</w:t>
      </w:r>
      <w:proofErr w:type="spellStart"/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водоснабжениям и (или) водоотведения, порядка и правил определения плановых значений и фактических значений таких показателей» (далее – Приказ).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Приказом к показателям надежности, качества, энергетической эффективности объектов централизованных систем горячего и холодного водоснабжения относятся: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а) показатели качества горячей и питьевой воды;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б) показатели надежности и бесперебойности централизованных систем водоснабжения;</w:t>
      </w:r>
    </w:p>
    <w:p w:rsidR="002F3063" w:rsidRPr="008C752E" w:rsidRDefault="002F3063" w:rsidP="002F3063">
      <w:pPr>
        <w:suppressAutoHyphens/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в) показатели эффективности использования ресурсов, в том числе уровень потерь воды (тепловой энергии в составе горячей воды).</w:t>
      </w:r>
    </w:p>
    <w:p w:rsidR="002F3063" w:rsidRPr="008C752E" w:rsidRDefault="002F3063" w:rsidP="002F3063">
      <w:pPr>
        <w:widowControl w:val="0"/>
        <w:autoSpaceDE w:val="0"/>
        <w:autoSpaceDN w:val="0"/>
        <w:spacing w:after="0" w:line="276" w:lineRule="auto"/>
        <w:ind w:right="11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752E">
        <w:rPr>
          <w:rFonts w:ascii="Times New Roman" w:eastAsia="Arial" w:hAnsi="Times New Roman" w:cs="Times New Roman"/>
          <w:sz w:val="28"/>
          <w:szCs w:val="28"/>
        </w:rPr>
        <w:t>Развитие систем водоснабжения и водоотведения Новинского сельсовета учитывает мероприятия</w:t>
      </w:r>
      <w:r w:rsidRPr="008C752E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C752E">
        <w:rPr>
          <w:rFonts w:ascii="Times New Roman" w:eastAsia="Arial" w:hAnsi="Times New Roman" w:cs="Times New Roman"/>
          <w:sz w:val="28"/>
          <w:szCs w:val="28"/>
        </w:rPr>
        <w:t>по:</w:t>
      </w:r>
    </w:p>
    <w:p w:rsidR="002F3063" w:rsidRPr="008C752E" w:rsidRDefault="002F3063" w:rsidP="002F3063">
      <w:pPr>
        <w:widowControl w:val="0"/>
        <w:numPr>
          <w:ilvl w:val="2"/>
          <w:numId w:val="1"/>
        </w:numPr>
        <w:tabs>
          <w:tab w:val="left" w:pos="1369"/>
        </w:tabs>
        <w:autoSpaceDE w:val="0"/>
        <w:autoSpaceDN w:val="0"/>
        <w:spacing w:after="0" w:line="276" w:lineRule="auto"/>
        <w:ind w:left="0" w:right="1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увеличению размера территорий, занятых жилой застройкой повышенной комфортности, на основе нового строительства на свободных от застройки территориях;</w:t>
      </w:r>
    </w:p>
    <w:p w:rsidR="002F3063" w:rsidRPr="008C752E" w:rsidRDefault="002F3063" w:rsidP="002F3063">
      <w:pPr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after="0" w:line="276" w:lineRule="auto"/>
        <w:ind w:left="0" w:right="1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созданию благоустроенных рекреационных территорий, включающих водноспортивные комплексы, базы отдыха, спортивные и игровые</w:t>
      </w:r>
      <w:r w:rsidRPr="008C75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752E">
        <w:rPr>
          <w:rFonts w:ascii="Times New Roman" w:hAnsi="Times New Roman" w:cs="Times New Roman"/>
          <w:sz w:val="28"/>
          <w:szCs w:val="28"/>
        </w:rPr>
        <w:t>площадки.</w:t>
      </w:r>
    </w:p>
    <w:p w:rsidR="002F3063" w:rsidRPr="008C752E" w:rsidRDefault="002F3063" w:rsidP="002F3063">
      <w:pPr>
        <w:widowControl w:val="0"/>
        <w:autoSpaceDE w:val="0"/>
        <w:autoSpaceDN w:val="0"/>
        <w:spacing w:after="0" w:line="276" w:lineRule="auto"/>
        <w:ind w:right="11"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752E">
        <w:rPr>
          <w:rFonts w:ascii="Times New Roman" w:eastAsia="Arial" w:hAnsi="Times New Roman" w:cs="Times New Roman"/>
          <w:sz w:val="28"/>
          <w:szCs w:val="28"/>
        </w:rPr>
        <w:t xml:space="preserve">Реализация Схемы должна обеспечить развитие систем </w:t>
      </w:r>
      <w:r w:rsidRPr="008C752E">
        <w:rPr>
          <w:rFonts w:ascii="Times New Roman" w:eastAsia="Arial" w:hAnsi="Times New Roman" w:cs="Times New Roman"/>
          <w:sz w:val="28"/>
          <w:szCs w:val="28"/>
        </w:rPr>
        <w:lastRenderedPageBreak/>
        <w:t>централизованного водоснабжения и водоотведения в соответствии с потребностями зон жилищного и коммунально-промышленного строительства и подключения 100% населения Новинского сельсовета к централизованным системам водоснабжения и водоотведения.</w:t>
      </w:r>
    </w:p>
    <w:p w:rsidR="002F3063" w:rsidRPr="008C752E" w:rsidRDefault="002F3063" w:rsidP="002F3063">
      <w:pPr>
        <w:autoSpaceDE w:val="0"/>
        <w:autoSpaceDN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реализации мероприятия по реконструкции схем водоснабжения Новинского сельсовета:</w:t>
      </w:r>
    </w:p>
    <w:p w:rsidR="002F3063" w:rsidRPr="008C752E" w:rsidRDefault="002F3063" w:rsidP="002F3063">
      <w:pPr>
        <w:autoSpaceDE w:val="0"/>
        <w:autoSpaceDN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потребители будут обеспечены коммунальными услугами централизованного водоснабжения и водоотведения;</w:t>
      </w:r>
    </w:p>
    <w:p w:rsidR="002F3063" w:rsidRPr="008C752E" w:rsidRDefault="002F3063" w:rsidP="002F3063">
      <w:pPr>
        <w:autoSpaceDE w:val="0"/>
        <w:autoSpaceDN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будет достигнуто повышение надежности и качества предоставления коммунальных услуг;</w:t>
      </w:r>
    </w:p>
    <w:p w:rsidR="002F3063" w:rsidRPr="008C752E" w:rsidRDefault="002F3063" w:rsidP="002F3063">
      <w:pPr>
        <w:autoSpaceDE w:val="0"/>
        <w:autoSpaceDN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будет улучшена экологическая ситуация.</w:t>
      </w:r>
    </w:p>
    <w:p w:rsidR="002F3063" w:rsidRPr="008C752E" w:rsidRDefault="002F3063" w:rsidP="002F3063">
      <w:pPr>
        <w:autoSpaceDE w:val="0"/>
        <w:autoSpaceDN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мероприятий направлена на увеличение мощности по водоснабжению и водоотведению для обеспечения подключения строящихся и существующих объектов сельского поселения в необходимых объемах и необходимой точке присоединения на период 2016 – 2028 </w:t>
      </w:r>
      <w:proofErr w:type="spellStart"/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г.г</w:t>
      </w:r>
      <w:proofErr w:type="spellEnd"/>
      <w:r w:rsidRPr="008C75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F3063" w:rsidRPr="008C752E" w:rsidRDefault="002F3063" w:rsidP="002F3063">
      <w:pPr>
        <w:widowControl w:val="0"/>
        <w:autoSpaceDE w:val="0"/>
        <w:autoSpaceDN w:val="0"/>
        <w:spacing w:before="92" w:after="0" w:line="276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752E">
        <w:rPr>
          <w:rFonts w:ascii="Times New Roman" w:eastAsia="Arial" w:hAnsi="Times New Roman" w:cs="Times New Roman"/>
          <w:sz w:val="28"/>
          <w:szCs w:val="28"/>
        </w:rPr>
        <w:t>На территории Новинского сельсовета сохраняется существующая и, в связи с освоением новых территорий, будет развиваться планируемая централизованная система водоснабжения. Водопроводные сети необходимо предусмотреть для обеспечения 100%-</w:t>
      </w:r>
      <w:proofErr w:type="spellStart"/>
      <w:r w:rsidRPr="008C752E">
        <w:rPr>
          <w:rFonts w:ascii="Times New Roman" w:eastAsia="Arial" w:hAnsi="Times New Roman" w:cs="Times New Roman"/>
          <w:sz w:val="28"/>
          <w:szCs w:val="28"/>
        </w:rPr>
        <w:t>ного</w:t>
      </w:r>
      <w:proofErr w:type="spellEnd"/>
      <w:r w:rsidRPr="008C752E">
        <w:rPr>
          <w:rFonts w:ascii="Times New Roman" w:eastAsia="Arial" w:hAnsi="Times New Roman" w:cs="Times New Roman"/>
          <w:sz w:val="28"/>
          <w:szCs w:val="28"/>
        </w:rPr>
        <w:t xml:space="preserve"> охвата жилой и социальной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2F3063" w:rsidRPr="008C752E" w:rsidRDefault="002F3063" w:rsidP="002F3063">
      <w:pPr>
        <w:widowControl w:val="0"/>
        <w:autoSpaceDE w:val="0"/>
        <w:autoSpaceDN w:val="0"/>
        <w:spacing w:before="1" w:after="0" w:line="276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752E">
        <w:rPr>
          <w:rFonts w:ascii="Times New Roman" w:eastAsia="Arial" w:hAnsi="Times New Roman" w:cs="Times New Roman"/>
          <w:sz w:val="28"/>
          <w:szCs w:val="28"/>
        </w:rPr>
        <w:t>На перспективу в связи с повышением степени комфортности существующего жилья и планируемой застройки жилыми домами, оборудованными внутренним водопроводом и канализацией, водопотребление по Новинскому сельсовету составит 32 439 м3/</w:t>
      </w:r>
      <w:proofErr w:type="spellStart"/>
      <w:r w:rsidRPr="008C752E">
        <w:rPr>
          <w:rFonts w:ascii="Times New Roman" w:eastAsia="Arial" w:hAnsi="Times New Roman" w:cs="Times New Roman"/>
          <w:sz w:val="28"/>
          <w:szCs w:val="28"/>
        </w:rPr>
        <w:t>сут</w:t>
      </w:r>
      <w:proofErr w:type="spellEnd"/>
      <w:r w:rsidRPr="008C752E">
        <w:rPr>
          <w:rFonts w:ascii="Times New Roman" w:eastAsia="Arial" w:hAnsi="Times New Roman" w:cs="Times New Roman"/>
          <w:sz w:val="28"/>
          <w:szCs w:val="28"/>
        </w:rPr>
        <w:t>.</w:t>
      </w:r>
    </w:p>
    <w:p w:rsidR="002F3063" w:rsidRPr="008C752E" w:rsidRDefault="002F3063" w:rsidP="002F3063">
      <w:pPr>
        <w:widowControl w:val="0"/>
        <w:autoSpaceDE w:val="0"/>
        <w:autoSpaceDN w:val="0"/>
        <w:spacing w:before="5" w:after="0" w:line="276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Normal1"/>
        <w:tblW w:w="933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44"/>
        <w:gridCol w:w="1843"/>
        <w:gridCol w:w="3260"/>
      </w:tblGrid>
      <w:tr w:rsidR="002F3063" w:rsidRPr="008C752E" w:rsidTr="00BC28DA">
        <w:trPr>
          <w:trHeight w:val="998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2F3063" w:rsidRPr="008C752E" w:rsidRDefault="002F3063" w:rsidP="002F3063">
            <w:pPr>
              <w:spacing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2F3063" w:rsidRPr="008C752E" w:rsidRDefault="002F3063" w:rsidP="002F3063">
            <w:pPr>
              <w:spacing w:before="157" w:line="276" w:lineRule="auto"/>
              <w:ind w:right="-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5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2F3063" w:rsidRPr="008C752E" w:rsidRDefault="002F3063" w:rsidP="002F3063">
            <w:pPr>
              <w:spacing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3063" w:rsidRPr="008C752E" w:rsidRDefault="002F3063" w:rsidP="002F3063">
            <w:pPr>
              <w:spacing w:before="157" w:line="276" w:lineRule="auto"/>
              <w:ind w:right="-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b/>
                <w:w w:val="135"/>
                <w:sz w:val="24"/>
                <w:szCs w:val="24"/>
              </w:rPr>
              <w:t>Наименование</w:t>
            </w:r>
            <w:proofErr w:type="spellEnd"/>
            <w:r w:rsidRPr="008C752E">
              <w:rPr>
                <w:rFonts w:ascii="Times New Roman" w:eastAsia="Arial" w:hAnsi="Times New Roman" w:cs="Times New Roman"/>
                <w:b/>
                <w:w w:val="135"/>
                <w:sz w:val="24"/>
                <w:szCs w:val="24"/>
              </w:rPr>
              <w:t xml:space="preserve"> </w:t>
            </w:r>
            <w:proofErr w:type="spellStart"/>
            <w:r w:rsidRPr="008C752E">
              <w:rPr>
                <w:rFonts w:ascii="Times New Roman" w:eastAsia="Arial" w:hAnsi="Times New Roman" w:cs="Times New Roman"/>
                <w:b/>
                <w:spacing w:val="-6"/>
                <w:w w:val="135"/>
                <w:sz w:val="24"/>
                <w:szCs w:val="24"/>
              </w:rPr>
              <w:t>Застройщика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2F3063" w:rsidRPr="008C752E" w:rsidRDefault="002F3063" w:rsidP="002F3063">
            <w:pPr>
              <w:spacing w:before="2" w:line="276" w:lineRule="auto"/>
              <w:ind w:right="-2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F3063" w:rsidRPr="008C752E" w:rsidRDefault="002F3063" w:rsidP="002F3063">
            <w:pPr>
              <w:spacing w:line="276" w:lineRule="auto"/>
              <w:ind w:right="-2"/>
              <w:jc w:val="both"/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Расчетное</w:t>
            </w:r>
            <w:proofErr w:type="spellEnd"/>
          </w:p>
          <w:p w:rsidR="002F3063" w:rsidRPr="008C752E" w:rsidRDefault="002F3063" w:rsidP="002F3063">
            <w:pPr>
              <w:spacing w:line="276" w:lineRule="auto"/>
              <w:ind w:right="-2"/>
              <w:jc w:val="both"/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количество</w:t>
            </w:r>
            <w:proofErr w:type="spellEnd"/>
          </w:p>
          <w:p w:rsidR="002F3063" w:rsidRPr="008C752E" w:rsidRDefault="002F3063" w:rsidP="002F3063">
            <w:pPr>
              <w:spacing w:line="276" w:lineRule="auto"/>
              <w:ind w:right="-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жителей</w:t>
            </w:r>
            <w:proofErr w:type="spellEnd"/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2F3063" w:rsidRPr="008C752E" w:rsidRDefault="002F3063" w:rsidP="002F3063">
            <w:pPr>
              <w:spacing w:before="134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5"/>
                <w:sz w:val="24"/>
                <w:szCs w:val="24"/>
                <w:lang w:val="ru-RU"/>
              </w:rPr>
              <w:t>Макс объем потребления ком. ресурсов,</w:t>
            </w:r>
          </w:p>
          <w:p w:rsidR="002F3063" w:rsidRPr="008C752E" w:rsidRDefault="002F3063" w:rsidP="002F3063">
            <w:pPr>
              <w:spacing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вооснабжения</w:t>
            </w:r>
            <w:proofErr w:type="spellEnd"/>
            <w:proofErr w:type="gramEnd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, м3/</w:t>
            </w:r>
            <w:proofErr w:type="spellStart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сут</w:t>
            </w:r>
            <w:proofErr w:type="spellEnd"/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.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ЭкоГрад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18 117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4529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Деметра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20 557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5139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Квартстрой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45 749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11437</w:t>
            </w:r>
          </w:p>
        </w:tc>
      </w:tr>
      <w:tr w:rsidR="002F3063" w:rsidRPr="008C752E" w:rsidTr="00BC28DA">
        <w:trPr>
          <w:trHeight w:val="334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37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37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Капстройинвест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37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9 400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37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2350</w:t>
            </w:r>
          </w:p>
        </w:tc>
      </w:tr>
      <w:tr w:rsidR="002F3063" w:rsidRPr="008C752E" w:rsidTr="00BC28DA">
        <w:trPr>
          <w:trHeight w:val="370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49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49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Капстройинвест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49" w:line="276" w:lineRule="auto"/>
              <w:ind w:right="-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13 646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49" w:line="276" w:lineRule="auto"/>
              <w:ind w:right="-2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3412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ООО "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Капстройинвест</w:t>
            </w:r>
            <w:proofErr w:type="spellEnd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15 718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3930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 xml:space="preserve">п. 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Кудьма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2 440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610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 xml:space="preserve">д. 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Комарово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417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104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8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 xml:space="preserve">п. 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Новинки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2 417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604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5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 xml:space="preserve">с. 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Сартаково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194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49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5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 xml:space="preserve">д. </w:t>
            </w: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Кусаковка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913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3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228</w:t>
            </w:r>
          </w:p>
        </w:tc>
      </w:tr>
      <w:tr w:rsidR="002F3063" w:rsidRPr="008C752E" w:rsidTr="00BC28DA">
        <w:trPr>
          <w:trHeight w:val="286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5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д.Ромашково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17</w:t>
            </w:r>
          </w:p>
        </w:tc>
      </w:tr>
      <w:tr w:rsidR="002F3063" w:rsidRPr="008C752E" w:rsidTr="00BC28DA">
        <w:trPr>
          <w:trHeight w:val="298"/>
        </w:trPr>
        <w:tc>
          <w:tcPr>
            <w:tcW w:w="689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25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д.Новопавловка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w w:val="130"/>
                <w:sz w:val="24"/>
                <w:szCs w:val="24"/>
              </w:rPr>
              <w:t>121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2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30</w:t>
            </w:r>
          </w:p>
        </w:tc>
      </w:tr>
      <w:tr w:rsidR="002F3063" w:rsidRPr="008C752E" w:rsidTr="00BC28DA">
        <w:trPr>
          <w:trHeight w:val="322"/>
        </w:trPr>
        <w:tc>
          <w:tcPr>
            <w:tcW w:w="423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18" w:line="276" w:lineRule="auto"/>
              <w:ind w:right="-1" w:firstLine="567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5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25" w:line="276" w:lineRule="auto"/>
              <w:ind w:right="-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129 755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2F3063" w:rsidRPr="008C752E" w:rsidRDefault="002F3063" w:rsidP="002F3063">
            <w:pPr>
              <w:spacing w:before="33" w:line="276" w:lineRule="auto"/>
              <w:ind w:right="-1" w:firstLine="34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C752E">
              <w:rPr>
                <w:rFonts w:ascii="Times New Roman" w:eastAsia="Arial" w:hAnsi="Times New Roman" w:cs="Times New Roman"/>
                <w:b/>
                <w:w w:val="130"/>
                <w:sz w:val="24"/>
                <w:szCs w:val="24"/>
              </w:rPr>
              <w:t>32439</w:t>
            </w:r>
          </w:p>
        </w:tc>
      </w:tr>
    </w:tbl>
    <w:p w:rsidR="002F3063" w:rsidRPr="008C752E" w:rsidRDefault="002F3063" w:rsidP="002F3063">
      <w:pPr>
        <w:widowControl w:val="0"/>
        <w:autoSpaceDE w:val="0"/>
        <w:autoSpaceDN w:val="0"/>
        <w:spacing w:before="8" w:after="0" w:line="276" w:lineRule="auto"/>
        <w:ind w:right="-1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F3063" w:rsidRPr="008C752E" w:rsidRDefault="002F3063" w:rsidP="002F3063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C752E">
        <w:rPr>
          <w:rFonts w:ascii="Times New Roman" w:eastAsia="Arial" w:hAnsi="Times New Roman" w:cs="Times New Roman"/>
          <w:sz w:val="28"/>
          <w:szCs w:val="28"/>
        </w:rPr>
        <w:t>Предлагается дальнейшее развитие систем централизованного водоснабжения в населенных пунктах Новинского сельского поселения. Планируемые кварталы жилой застройки предлагается подключить к существующей централизованной системе водоснабжения, для этого необходимо строительство новых внутриквартальных водопроводных сетей с устройством вводов в дома, а также планируемые сети необходимо закольцевать с существующими водопроводными сетями.</w:t>
      </w:r>
    </w:p>
    <w:p w:rsidR="002F3063" w:rsidRPr="008C752E" w:rsidRDefault="002F3063" w:rsidP="002F306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На основании данных, полученных от Министерства энергетики и жилищно-коммунального хозяйства Нижегородской области (письмо от 19.07.2022 №9200-АБ), на территории городского округа город Нижний Новгород в перспективном периоде планируются мероприятия по строительству объектов системы водоснабжения на следующих территориях:</w:t>
      </w:r>
    </w:p>
    <w:p w:rsidR="002F3063" w:rsidRPr="008C752E" w:rsidRDefault="002F3063" w:rsidP="002F306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 xml:space="preserve">- в границах улиц Шоссейная, Гагарина, Богородская, Магистральная, Нижегородская, Северная, Дружная в поселке Новинки города Нижнего Новгорода (договор между АО «ДОМ.РФ» и ООО НИИ «Земля и город» от 07.10.2021 № 02/4867-21 на разработку документации по планировке территории (проекта планировки территории, включая проект межевания территории). </w:t>
      </w:r>
    </w:p>
    <w:p w:rsidR="002F3063" w:rsidRPr="002F3063" w:rsidRDefault="002F3063" w:rsidP="002F306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>- 67 земельных участков общей площадью 84,77 га, переданных АО «ДОМ.РФ» в аренду ООО «СЗ «Три Эс Новый Город»: 35 участков (47,00 га) по договору аренды земельных участков для комплексного освоения территории, в рамках которого предусматривается в том числе жилищное строительство, от 18.08.2020 № 20/2811-20 и 32 участка (37,77 га) по договору аренды земельных участков для комплексного освоения территории, в рамках которого предусматривается в том числе жилищное строительство, от 30.09.2020 № 20/3362-20.</w:t>
      </w:r>
      <w:bookmarkStart w:id="6" w:name="_GoBack"/>
      <w:bookmarkEnd w:id="6"/>
      <w:r w:rsidRPr="002F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63" w:rsidRDefault="002F3063" w:rsidP="002F3063">
      <w:pPr>
        <w:jc w:val="both"/>
      </w:pPr>
    </w:p>
    <w:sectPr w:rsidR="002F3063" w:rsidSect="00D8457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C7" w:rsidRDefault="00580FC7" w:rsidP="002F3063">
      <w:pPr>
        <w:spacing w:after="0" w:line="240" w:lineRule="auto"/>
      </w:pPr>
      <w:r>
        <w:separator/>
      </w:r>
    </w:p>
  </w:endnote>
  <w:endnote w:type="continuationSeparator" w:id="0">
    <w:p w:rsidR="00580FC7" w:rsidRDefault="00580FC7" w:rsidP="002F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C7" w:rsidRDefault="00580FC7" w:rsidP="002F3063">
      <w:pPr>
        <w:spacing w:after="0" w:line="240" w:lineRule="auto"/>
      </w:pPr>
      <w:r>
        <w:separator/>
      </w:r>
    </w:p>
  </w:footnote>
  <w:footnote w:type="continuationSeparator" w:id="0">
    <w:p w:rsidR="00580FC7" w:rsidRDefault="00580FC7" w:rsidP="002F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78" w:rsidRPr="00D84578" w:rsidRDefault="00D84578" w:rsidP="00D84578">
    <w:pPr>
      <w:pStyle w:val="a3"/>
      <w:tabs>
        <w:tab w:val="clear" w:pos="4677"/>
        <w:tab w:val="clear" w:pos="9355"/>
        <w:tab w:val="left" w:pos="75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78" w:rsidRDefault="00D84578" w:rsidP="00D84578">
    <w:pPr>
      <w:pStyle w:val="a3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452D"/>
    <w:multiLevelType w:val="multilevel"/>
    <w:tmpl w:val="B0009386"/>
    <w:lvl w:ilvl="0">
      <w:start w:val="3"/>
      <w:numFmt w:val="decimal"/>
      <w:lvlText w:val="%1"/>
      <w:lvlJc w:val="left"/>
      <w:pPr>
        <w:ind w:left="397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73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7" w:hanging="224"/>
      </w:pPr>
      <w:rPr>
        <w:rFonts w:ascii="Arial" w:eastAsia="Arial" w:hAnsi="Arial" w:cs="Arial" w:hint="default"/>
        <w:spacing w:val="-2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96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2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542C6CF9"/>
    <w:multiLevelType w:val="multilevel"/>
    <w:tmpl w:val="93E8B9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63"/>
    <w:rsid w:val="002F3063"/>
    <w:rsid w:val="004431D6"/>
    <w:rsid w:val="00580FC7"/>
    <w:rsid w:val="00615594"/>
    <w:rsid w:val="008C752E"/>
    <w:rsid w:val="00D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8D488-474A-46F0-A255-588FE452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63"/>
  </w:style>
  <w:style w:type="paragraph" w:styleId="1">
    <w:name w:val="heading 1"/>
    <w:basedOn w:val="a"/>
    <w:next w:val="a"/>
    <w:link w:val="10"/>
    <w:uiPriority w:val="9"/>
    <w:qFormat/>
    <w:rsid w:val="002F3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063"/>
  </w:style>
  <w:style w:type="paragraph" w:styleId="a5">
    <w:name w:val="footer"/>
    <w:basedOn w:val="a"/>
    <w:link w:val="a6"/>
    <w:uiPriority w:val="99"/>
    <w:unhideWhenUsed/>
    <w:rsid w:val="002F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063"/>
  </w:style>
  <w:style w:type="paragraph" w:styleId="a7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8"/>
    <w:uiPriority w:val="99"/>
    <w:qFormat/>
    <w:rsid w:val="002F3063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7"/>
    <w:uiPriority w:val="99"/>
    <w:locked/>
    <w:rsid w:val="002F3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1"/>
    <w:qFormat/>
    <w:rsid w:val="002F3063"/>
    <w:pPr>
      <w:spacing w:before="0" w:line="240" w:lineRule="auto"/>
      <w:ind w:left="709" w:hanging="705"/>
    </w:pPr>
    <w:rPr>
      <w:rFonts w:ascii="Calibri Light" w:eastAsia="Times New Roman" w:hAnsi="Calibri Light" w:cs="Times New Roman"/>
      <w:bCs/>
      <w:color w:val="17365D"/>
      <w:szCs w:val="24"/>
    </w:rPr>
  </w:style>
  <w:style w:type="table" w:customStyle="1" w:styleId="TableNormal1">
    <w:name w:val="Table Normal1"/>
    <w:uiPriority w:val="2"/>
    <w:semiHidden/>
    <w:unhideWhenUsed/>
    <w:qFormat/>
    <w:rsid w:val="002F3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Крайнова Дарья Владимировна</dc:creator>
  <cp:keywords/>
  <dc:description/>
  <cp:lastModifiedBy>Козина Екатерина Юрьевна</cp:lastModifiedBy>
  <cp:revision>2</cp:revision>
  <dcterms:created xsi:type="dcterms:W3CDTF">2023-02-01T10:28:00Z</dcterms:created>
  <dcterms:modified xsi:type="dcterms:W3CDTF">2023-02-01T10:28:00Z</dcterms:modified>
</cp:coreProperties>
</file>